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739"/>
        <w:gridCol w:w="2554"/>
        <w:gridCol w:w="2122"/>
      </w:tblGrid>
      <w:tr w:rsidR="009763B7" w:rsidRPr="00350235" w:rsidTr="005E7A71">
        <w:trPr>
          <w:trHeight w:val="331"/>
        </w:trPr>
        <w:tc>
          <w:tcPr>
            <w:tcW w:w="664" w:type="pct"/>
            <w:vMerge w:val="restart"/>
            <w:shd w:val="clear" w:color="auto" w:fill="F2F2F2"/>
            <w:vAlign w:val="center"/>
          </w:tcPr>
          <w:p w:rsidR="009763B7" w:rsidRPr="005E7BEF" w:rsidRDefault="009763B7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7BEF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Blocos</w:t>
            </w:r>
          </w:p>
          <w:p w:rsidR="009763B7" w:rsidRPr="005E7BEF" w:rsidRDefault="009763B7" w:rsidP="005E7BEF">
            <w:pPr>
              <w:spacing w:before="120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(</w:t>
            </w:r>
            <w:r w:rsidRPr="005E7BEF">
              <w:rPr>
                <w:rFonts w:ascii="Arial" w:eastAsia="Arial" w:hAnsi="Arial" w:cs="Arial"/>
                <w:color w:val="333333"/>
                <w:sz w:val="18"/>
                <w:szCs w:val="18"/>
              </w:rPr>
              <w:t>Ao longo do Ano Letivo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702" w:type="pct"/>
            <w:vMerge w:val="restart"/>
            <w:shd w:val="clear" w:color="auto" w:fill="F2F2F2"/>
            <w:vAlign w:val="center"/>
          </w:tcPr>
          <w:p w:rsidR="009763B7" w:rsidRPr="00350235" w:rsidRDefault="009763B7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633" w:type="pct"/>
            <w:gridSpan w:val="2"/>
            <w:shd w:val="clear" w:color="auto" w:fill="F2F2F2"/>
          </w:tcPr>
          <w:p w:rsidR="009763B7" w:rsidRDefault="009763B7" w:rsidP="002B5278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Aulas Previstas</w:t>
            </w:r>
          </w:p>
        </w:tc>
      </w:tr>
      <w:tr w:rsidR="00564C1B" w:rsidRPr="00350235" w:rsidTr="005E7A71">
        <w:trPr>
          <w:trHeight w:val="331"/>
        </w:trPr>
        <w:tc>
          <w:tcPr>
            <w:tcW w:w="664" w:type="pct"/>
            <w:vMerge/>
            <w:shd w:val="clear" w:color="auto" w:fill="F2F2F2"/>
            <w:vAlign w:val="center"/>
          </w:tcPr>
          <w:p w:rsidR="009763B7" w:rsidRDefault="009763B7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702" w:type="pct"/>
            <w:vMerge/>
            <w:shd w:val="clear" w:color="auto" w:fill="F2F2F2"/>
            <w:vAlign w:val="center"/>
          </w:tcPr>
          <w:p w:rsidR="009763B7" w:rsidRPr="00350235" w:rsidRDefault="009763B7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F2F2F2"/>
          </w:tcPr>
          <w:p w:rsidR="009763B7" w:rsidRDefault="009763B7" w:rsidP="002B5278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Para Lecionação de Conteúdos</w:t>
            </w:r>
          </w:p>
        </w:tc>
        <w:tc>
          <w:tcPr>
            <w:tcW w:w="742" w:type="pct"/>
            <w:shd w:val="clear" w:color="auto" w:fill="F2F2F2"/>
          </w:tcPr>
          <w:p w:rsidR="009763B7" w:rsidRPr="002C55A4" w:rsidRDefault="009763B7" w:rsidP="00564C1B">
            <w:pPr>
              <w:jc w:val="center"/>
              <w:rPr>
                <w:lang w:eastAsia="en-US"/>
              </w:rPr>
            </w:pPr>
            <w:r w:rsidRPr="00ED2105">
              <w:rPr>
                <w:rFonts w:ascii="Calibri" w:hAnsi="Calibri"/>
                <w:b/>
              </w:rPr>
              <w:t>Para Avaliação</w:t>
            </w:r>
            <w:r w:rsidRPr="00ED2105">
              <w:rPr>
                <w:rStyle w:val="Refdenotaderodap"/>
                <w:rFonts w:ascii="Calibri" w:hAnsi="Calibri"/>
                <w:b/>
              </w:rPr>
              <w:footnoteReference w:id="1"/>
            </w:r>
          </w:p>
        </w:tc>
      </w:tr>
      <w:tr w:rsidR="00564C1B" w:rsidRPr="00350235" w:rsidTr="005E7A71">
        <w:trPr>
          <w:trHeight w:val="4449"/>
        </w:trPr>
        <w:tc>
          <w:tcPr>
            <w:tcW w:w="664" w:type="pct"/>
          </w:tcPr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 xml:space="preserve">Jogos de exploração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corpo e </w:t>
            </w:r>
            <w:r w:rsidRPr="00A13E12">
              <w:rPr>
                <w:rFonts w:ascii="Arial" w:hAnsi="Arial" w:cs="Arial"/>
                <w:b/>
                <w:sz w:val="18"/>
                <w:szCs w:val="18"/>
              </w:rPr>
              <w:t>da voz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A36AC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Desenvolvimento auditivo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>Jogos de exploração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instrumentos</w:t>
            </w:r>
          </w:p>
          <w:p w:rsidR="009763B7" w:rsidRPr="00A13E12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2" w:type="pct"/>
          </w:tcPr>
          <w:p w:rsidR="009763B7" w:rsidRPr="00564C1B" w:rsidRDefault="009763B7" w:rsidP="00ED6997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Trabalho vocal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.Postura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.Respiração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.Articulação/dicção</w:t>
            </w:r>
          </w:p>
          <w:p w:rsidR="009763B7" w:rsidRPr="00564C1B" w:rsidRDefault="008816F6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.Entoação</w:t>
            </w:r>
          </w:p>
          <w:p w:rsidR="009763B7" w:rsidRPr="00564C1B" w:rsidRDefault="008816F6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.Expressividade</w:t>
            </w:r>
          </w:p>
          <w:p w:rsidR="009763B7" w:rsidRPr="00564C1B" w:rsidRDefault="008816F6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.Criatividade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.Dominar técnicas de produção de som vocal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.Ressonância.   </w:t>
            </w:r>
          </w:p>
          <w:p w:rsidR="009763B7" w:rsidRPr="00092CC0" w:rsidRDefault="009763B7" w:rsidP="00092CC0">
            <w:pPr>
              <w:suppressAutoHyphens/>
              <w:spacing w:line="36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C1B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  <w:p w:rsidR="009763B7" w:rsidRPr="00564C1B" w:rsidRDefault="009763B7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  <w:t>Trabalho Melódico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</w:t>
            </w:r>
            <w:r w:rsidR="008816F6"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Desenvolver a acuidade auditiva</w:t>
            </w:r>
          </w:p>
          <w:p w:rsidR="009763B7" w:rsidRPr="00564C1B" w:rsidRDefault="009763B7" w:rsidP="008816F6">
            <w:pPr>
              <w:tabs>
                <w:tab w:val="left" w:pos="742"/>
              </w:tabs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.Organizar sons em função da altura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.Conhecer, entoar </w:t>
            </w:r>
            <w:r w:rsidR="008816F6"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e identificar as notas musicais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.Notas musicais naturais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.Exercícios de repetição de pequenas frases melódicas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.Leituras a partir de diferentes suportes de notação</w:t>
            </w:r>
          </w:p>
          <w:p w:rsidR="009763B7" w:rsidRPr="00564C1B" w:rsidRDefault="009763B7" w:rsidP="008816F6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.Ditados melódicos (adivinhas)</w:t>
            </w:r>
          </w:p>
          <w:p w:rsid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.</w:t>
            </w:r>
            <w:r w:rsid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Improvisação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Intervalos musicais simples</w:t>
            </w:r>
          </w:p>
          <w:p w:rsidR="008816F6" w:rsidRPr="00564C1B" w:rsidRDefault="008816F6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763B7" w:rsidRPr="00564C1B" w:rsidRDefault="009763B7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Cs w:val="20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2"/>
                <w:szCs w:val="20"/>
                <w:lang w:eastAsia="en-US"/>
              </w:rPr>
              <w:t>Jogos Corporais</w:t>
            </w:r>
          </w:p>
          <w:p w:rsidR="00564C1B" w:rsidRPr="00564C1B" w:rsidRDefault="00564C1B" w:rsidP="00345896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Experimentar percussão </w:t>
            </w:r>
            <w:r w:rsidR="008816F6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corporal, batimentos, </w:t>
            </w: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palmas.</w:t>
            </w: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Acompanhar canções com gestos e percussão corporal.</w:t>
            </w: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Movimentar-se livremente a partir de: sons vocais e instrumentais, melodias e canções, gravações.</w:t>
            </w:r>
          </w:p>
          <w:p w:rsidR="009763B7" w:rsidRPr="00564C1B" w:rsidRDefault="009763B7" w:rsidP="00564C1B">
            <w:pPr>
              <w:tabs>
                <w:tab w:val="num" w:pos="720"/>
              </w:tabs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- Associar movimentos a: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pulsação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andamento,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dinâmica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acentuação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divisão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092CC0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binária</w:t>
            </w:r>
            <w:proofErr w:type="spellEnd"/>
            <w:r w:rsidR="00092CC0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/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ternária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dinâmica</w:t>
            </w:r>
            <w:proofErr w:type="spellEnd"/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9763B7" w:rsidRPr="00564C1B" w:rsidRDefault="009763B7" w:rsidP="00564C1B">
            <w:pPr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Fazer variações bruscas de andamento (rápido,lento) e intensidade (forte, fraco).</w:t>
            </w:r>
          </w:p>
          <w:p w:rsidR="009763B7" w:rsidRPr="00564C1B" w:rsidRDefault="009763B7" w:rsidP="00564C1B">
            <w:pPr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Fazer variações graduais de andamento («acelerando», «retardando») e de intensidade (aumentar, diminuir).</w:t>
            </w:r>
          </w:p>
          <w:p w:rsidR="009763B7" w:rsidRPr="00564C1B" w:rsidRDefault="009763B7" w:rsidP="00564C1B">
            <w:pPr>
              <w:spacing w:before="120"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Participar em coreografias elementares inventando e reproduzindo gestos movimentos, passos.</w:t>
            </w:r>
          </w:p>
          <w:p w:rsidR="009763B7" w:rsidRPr="00564C1B" w:rsidRDefault="009763B7" w:rsidP="00564C1B">
            <w:pPr>
              <w:pStyle w:val="NormalWeb"/>
              <w:spacing w:before="12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hAnsiTheme="minorHAnsi" w:cs="Arial"/>
                <w:sz w:val="20"/>
                <w:szCs w:val="18"/>
              </w:rPr>
              <w:t>-</w:t>
            </w: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 xml:space="preserve"> Experimentar as potencialidades sonoras de materiais e objetos.</w:t>
            </w:r>
          </w:p>
          <w:p w:rsidR="009763B7" w:rsidRDefault="009763B7" w:rsidP="00564C1B">
            <w:pPr>
              <w:pStyle w:val="NormalWeb"/>
              <w:spacing w:before="12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 Utilizar instrumentos musicais.</w:t>
            </w:r>
          </w:p>
          <w:p w:rsidR="005C6B83" w:rsidRPr="009763B7" w:rsidRDefault="005C6B83" w:rsidP="00564C1B">
            <w:pPr>
              <w:pStyle w:val="NormalWeb"/>
              <w:spacing w:before="120" w:beforeAutospacing="0" w:after="0" w:afterAutospacing="0" w:line="36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</w:tcPr>
          <w:p w:rsidR="00564C1B" w:rsidRDefault="00564C1B" w:rsidP="00564C1B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9763B7" w:rsidRDefault="009763B7" w:rsidP="00564C1B">
            <w:pPr>
              <w:jc w:val="center"/>
              <w:rPr>
                <w:rFonts w:ascii="Calibri" w:hAnsi="Calibri"/>
                <w:sz w:val="20"/>
              </w:rPr>
            </w:pPr>
            <w:r w:rsidRPr="00C21584">
              <w:rPr>
                <w:rFonts w:ascii="Calibri" w:hAnsi="Calibri"/>
                <w:b/>
                <w:sz w:val="20"/>
              </w:rPr>
              <w:t xml:space="preserve">Nota: </w:t>
            </w:r>
            <w:r w:rsidRPr="00C21584">
              <w:rPr>
                <w:rFonts w:ascii="Calibri" w:hAnsi="Calibri"/>
                <w:sz w:val="20"/>
              </w:rPr>
              <w:t xml:space="preserve">A dinamização das aulas de E. E. M. organiza-se numa sequência de sete </w:t>
            </w:r>
            <w:r w:rsidRPr="00C64651">
              <w:rPr>
                <w:rFonts w:ascii="Calibri" w:hAnsi="Calibri"/>
                <w:sz w:val="20"/>
              </w:rPr>
              <w:t>momentos (ao longo do ano letivo)</w:t>
            </w:r>
            <w:r w:rsidRPr="00C21584">
              <w:rPr>
                <w:rFonts w:ascii="Calibri" w:hAnsi="Calibri"/>
                <w:sz w:val="20"/>
              </w:rPr>
              <w:t xml:space="preserve"> para facilitar a abordagem dos diferentes domínios e conteúdos do programa.</w:t>
            </w:r>
          </w:p>
          <w:p w:rsidR="009763B7" w:rsidRDefault="009763B7" w:rsidP="00A36ACF">
            <w:pPr>
              <w:rPr>
                <w:rFonts w:ascii="Calibri" w:hAnsi="Calibri"/>
                <w:sz w:val="20"/>
              </w:rPr>
            </w:pPr>
          </w:p>
          <w:p w:rsidR="009763B7" w:rsidRDefault="009763B7" w:rsidP="00564C1B">
            <w:pPr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1º Período:</w:t>
            </w:r>
          </w:p>
          <w:p w:rsidR="009763B7" w:rsidRPr="000E775A" w:rsidRDefault="00EB3038" w:rsidP="002C55A4">
            <w:pPr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>12</w:t>
            </w:r>
          </w:p>
          <w:p w:rsidR="009763B7" w:rsidRDefault="009763B7" w:rsidP="002C55A4">
            <w:pPr>
              <w:jc w:val="right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2º Período:</w:t>
            </w:r>
          </w:p>
          <w:p w:rsidR="009763B7" w:rsidRPr="00DF08BC" w:rsidRDefault="00EB3038" w:rsidP="00DF08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11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3º Período:</w:t>
            </w:r>
          </w:p>
          <w:p w:rsidR="009763B7" w:rsidRDefault="00EB3038" w:rsidP="002C55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9</w:t>
            </w:r>
          </w:p>
          <w:p w:rsidR="009763B7" w:rsidRPr="002C55A4" w:rsidRDefault="009763B7" w:rsidP="002C55A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2" w:type="pct"/>
          </w:tcPr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EB3038">
            <w:pPr>
              <w:rPr>
                <w:rFonts w:ascii="Calibri" w:hAnsi="Calibri"/>
              </w:rPr>
            </w:pPr>
          </w:p>
          <w:p w:rsidR="00564C1B" w:rsidRDefault="00564C1B" w:rsidP="009763B7">
            <w:pPr>
              <w:jc w:val="center"/>
              <w:rPr>
                <w:rFonts w:ascii="Calibri" w:hAnsi="Calibri"/>
              </w:rPr>
            </w:pPr>
          </w:p>
          <w:p w:rsidR="009763B7" w:rsidRDefault="009763B7" w:rsidP="009763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1º Período</w:t>
            </w:r>
          </w:p>
          <w:p w:rsidR="009763B7" w:rsidRDefault="00EB3038" w:rsidP="002C55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2º Período</w:t>
            </w:r>
          </w:p>
          <w:p w:rsidR="009763B7" w:rsidRDefault="00EB3038" w:rsidP="002C55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  <w:b/>
              </w:rPr>
            </w:pP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3º Período</w:t>
            </w:r>
          </w:p>
          <w:p w:rsidR="009763B7" w:rsidRDefault="00EB3038" w:rsidP="002C55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  <w:p w:rsidR="009763B7" w:rsidRDefault="009763B7" w:rsidP="002C55A4">
            <w:pPr>
              <w:jc w:val="center"/>
              <w:rPr>
                <w:rFonts w:ascii="Calibri" w:hAnsi="Calibri"/>
              </w:rPr>
            </w:pPr>
          </w:p>
          <w:p w:rsidR="00564C1B" w:rsidRDefault="00564C1B" w:rsidP="002C55A4">
            <w:pPr>
              <w:jc w:val="center"/>
              <w:rPr>
                <w:rFonts w:ascii="Calibri" w:hAnsi="Calibri"/>
              </w:rPr>
            </w:pPr>
          </w:p>
          <w:p w:rsidR="009763B7" w:rsidRDefault="009763B7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564C1B" w:rsidRPr="00350235" w:rsidTr="005E7A71">
        <w:trPr>
          <w:trHeight w:val="3794"/>
        </w:trPr>
        <w:tc>
          <w:tcPr>
            <w:tcW w:w="664" w:type="pct"/>
          </w:tcPr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Pr="003A26C3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Experimentação, desenvolvimento e criação musical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Desenvolvimento auditivo</w:t>
            </w: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C1B" w:rsidRDefault="00564C1B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B83" w:rsidRDefault="005C6B83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Expressão e criação musical</w:t>
            </w:r>
            <w:r w:rsidRPr="002579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579B2">
            <w:pPr>
              <w:suppressAutoHyphens/>
              <w:spacing w:after="160" w:line="25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3B7" w:rsidRPr="001B3333" w:rsidRDefault="009763B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2" w:type="pct"/>
          </w:tcPr>
          <w:p w:rsidR="009763B7" w:rsidRDefault="009763B7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763B7" w:rsidRPr="00564C1B" w:rsidRDefault="009763B7" w:rsidP="00E84BF0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Trabalho Rítmico</w:t>
            </w:r>
          </w:p>
          <w:p w:rsidR="009763B7" w:rsidRPr="00564C1B" w:rsidRDefault="009763B7" w:rsidP="002B5278">
            <w:pPr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- Identificar e mar</w:t>
            </w:r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car a pulsação e/ou ritmo de: </w:t>
            </w: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lengalengas, </w:t>
            </w:r>
            <w:r w:rsidR="00564C1B"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</w:t>
            </w: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canções, melodias e danças, utilizando percussão corporal, instrumentos, voz, movimento.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 xml:space="preserve">.Monorritmia/polirritmia 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.Executar frases, trechos e peças rítmicas a uma, duas e três partes utilizando diferentes suportes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.Memorizar e inventar sequências rítmicas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.Memória auditiva</w:t>
            </w:r>
          </w:p>
          <w:p w:rsidR="009763B7" w:rsidRPr="00564C1B" w:rsidRDefault="009763B7" w:rsidP="00564C1B">
            <w:pPr>
              <w:tabs>
                <w:tab w:val="left" w:pos="600"/>
              </w:tabs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.Reproduzir pequenas frases rítmicas utilizando batimentos corporais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.Improvisação musical</w:t>
            </w:r>
          </w:p>
          <w:p w:rsidR="00564C1B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.Inventar pequenas frases rítmicas utilizando a voz, batimentos corporais e instrumentos</w:t>
            </w:r>
          </w:p>
          <w:p w:rsidR="009763B7" w:rsidRPr="00564C1B" w:rsidRDefault="009763B7" w:rsidP="00564C1B">
            <w:pPr>
              <w:numPr>
                <w:ilvl w:val="0"/>
                <w:numId w:val="2"/>
              </w:numPr>
              <w:suppressAutoHyphens/>
              <w:spacing w:line="360" w:lineRule="auto"/>
              <w:ind w:left="175" w:hanging="142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Conhecer e identificar células rítmicas</w:t>
            </w:r>
          </w:p>
          <w:p w:rsidR="009763B7" w:rsidRPr="00564C1B" w:rsidRDefault="009763B7" w:rsidP="00564C1B">
            <w:pPr>
              <w:tabs>
                <w:tab w:val="left" w:pos="600"/>
              </w:tabs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.Figuras rítmicas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.Leituras a partir de diferentes suportes de notação (convencional e não convencional)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.Ditados rítmicos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 (adivinhas)</w:t>
            </w:r>
          </w:p>
          <w:p w:rsidR="009763B7" w:rsidRPr="00564C1B" w:rsidRDefault="009763B7" w:rsidP="00564C1B">
            <w:pPr>
              <w:suppressAutoHyphens/>
              <w:spacing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.Relação de valores entre as diferentes figuras rítmicas</w:t>
            </w:r>
          </w:p>
          <w:p w:rsidR="009763B7" w:rsidRPr="00564C1B" w:rsidRDefault="009763B7" w:rsidP="002B5278">
            <w:pPr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E84BF0">
            <w:pPr>
              <w:suppressAutoHyphens/>
              <w:spacing w:after="160" w:line="25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Notação*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 xml:space="preserve">.Criar códigos e formas diferenciadas de representação gráfica e gestual do som em função da altura, duração, intensidade, timbre,… 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.Conhecer e utilizar símbolos não convencionais de leitura e escrita musical (notações de aproximação)</w:t>
            </w:r>
          </w:p>
          <w:p w:rsidR="009763B7" w:rsidRDefault="009763B7" w:rsidP="00092CC0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.Conhecer e utilizar a notação musical convencional</w:t>
            </w:r>
          </w:p>
          <w:p w:rsidR="005C6B83" w:rsidRPr="00564C1B" w:rsidRDefault="005C6B83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b/>
                <w:color w:val="auto"/>
                <w:sz w:val="20"/>
                <w:szCs w:val="18"/>
                <w:lang w:eastAsia="en-US"/>
              </w:rPr>
              <w:t>Criatividade*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.Utilizar o movimento corporal como meio de expressão e criação, tendo por base a música</w:t>
            </w:r>
          </w:p>
          <w:p w:rsidR="009763B7" w:rsidRPr="00564C1B" w:rsidRDefault="009763B7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  <w:t>.Explorar as potencialidades sonoras da voz, corpo, objetos, instrumentos musicais,…</w:t>
            </w:r>
          </w:p>
          <w:p w:rsidR="009763B7" w:rsidRPr="00564C1B" w:rsidRDefault="009763B7" w:rsidP="00564C1B">
            <w:pPr>
              <w:spacing w:line="360" w:lineRule="auto"/>
              <w:rPr>
                <w:rFonts w:asciiTheme="minorHAnsi" w:eastAsiaTheme="minorHAnsi" w:hAnsiTheme="minorHAnsi" w:cs="Arial"/>
                <w:color w:val="auto"/>
                <w:sz w:val="20"/>
                <w:szCs w:val="18"/>
                <w:lang w:eastAsia="en-US"/>
              </w:rPr>
            </w:pPr>
          </w:p>
          <w:p w:rsidR="00564C1B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564C1B">
              <w:rPr>
                <w:rFonts w:asciiTheme="minorHAnsi" w:hAnsiTheme="minorHAnsi" w:cs="Arial"/>
                <w:b/>
                <w:sz w:val="20"/>
                <w:szCs w:val="18"/>
              </w:rPr>
              <w:t>Prática Musical de Conjunto**</w:t>
            </w:r>
          </w:p>
          <w:p w:rsidR="009763B7" w:rsidRPr="00564C1B" w:rsidRDefault="009763B7" w:rsidP="00564C1B">
            <w:pPr>
              <w:suppressAutoHyphens/>
              <w:spacing w:after="160" w:line="360" w:lineRule="auto"/>
              <w:contextualSpacing/>
              <w:jc w:val="both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 Reproduzir com a voz ou com instrumentos: sons isolados, motivos, frases, escalas, agregados sonoros, canções e melodias (cantadas ou tocadas, ao vivo ou de gravação).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 Dialogar sobre: meio ambiente sonoro, audições musicais, produções próprias e do grupo encontros com músicos.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 Participar em danças de roda, de fila,..., tradicionais, infantis.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</w:t>
            </w:r>
            <w:r w:rsidRPr="00564C1B">
              <w:rPr>
                <w:rFonts w:asciiTheme="minorHAnsi" w:hAnsiTheme="minorHAnsi" w:cs="Arial"/>
                <w:sz w:val="28"/>
                <w:szCs w:val="22"/>
              </w:rPr>
              <w:t xml:space="preserve"> </w:t>
            </w: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Experimentar as potencialidades sonoras de materiais e objetos;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-Conhecer um conjunto diversificado de instrumentos musicais (em especial do chamado “Instrumental Orff”: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.Famílias tímbricas</w:t>
            </w:r>
          </w:p>
          <w:p w:rsidR="009763B7" w:rsidRPr="00564C1B" w:rsidRDefault="009763B7" w:rsidP="00564C1B">
            <w:pPr>
              <w:pStyle w:val="NormalWeb"/>
              <w:spacing w:before="0" w:beforeAutospacing="0" w:after="0" w:afterAutospacing="0" w:line="360" w:lineRule="auto"/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</w:pPr>
            <w:r w:rsidRPr="00564C1B">
              <w:rPr>
                <w:rFonts w:asciiTheme="minorHAnsi" w:eastAsiaTheme="minorHAnsi" w:hAnsiTheme="minorHAnsi" w:cs="Arial"/>
                <w:sz w:val="20"/>
                <w:szCs w:val="18"/>
                <w:lang w:eastAsia="en-US"/>
              </w:rPr>
              <w:t>.Utilizar flautas, xilofones, metalofones, pandeiretas, blocos de dois tons,…</w:t>
            </w:r>
          </w:p>
          <w:p w:rsidR="009763B7" w:rsidRPr="001B3333" w:rsidRDefault="009763B7" w:rsidP="002B5278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</w:tcPr>
          <w:p w:rsidR="009763B7" w:rsidRPr="00350235" w:rsidRDefault="009763B7" w:rsidP="00A36A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9763B7" w:rsidRPr="00350235" w:rsidRDefault="009763B7" w:rsidP="00A36A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1B" w:rsidRPr="00350235" w:rsidTr="005E7A71">
        <w:trPr>
          <w:trHeight w:val="468"/>
        </w:trPr>
        <w:tc>
          <w:tcPr>
            <w:tcW w:w="3367" w:type="pct"/>
            <w:gridSpan w:val="2"/>
          </w:tcPr>
          <w:p w:rsidR="00564C1B" w:rsidRDefault="00564C1B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33" w:type="pct"/>
            <w:gridSpan w:val="2"/>
          </w:tcPr>
          <w:p w:rsidR="00564C1B" w:rsidRPr="00564C1B" w:rsidRDefault="00EB3038" w:rsidP="00564C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  <w:bookmarkStart w:id="0" w:name="_GoBack"/>
            <w:bookmarkEnd w:id="0"/>
          </w:p>
        </w:tc>
      </w:tr>
    </w:tbl>
    <w:p w:rsidR="00A36ACF" w:rsidRDefault="00A36ACF" w:rsidP="002579B2">
      <w:pPr>
        <w:rPr>
          <w:rFonts w:ascii="Calibri" w:hAnsi="Calibri"/>
        </w:rPr>
      </w:pPr>
    </w:p>
    <w:p w:rsidR="00A36ACF" w:rsidRDefault="00A36ACF" w:rsidP="002579B2">
      <w:pPr>
        <w:rPr>
          <w:rFonts w:ascii="Calibri" w:hAnsi="Calibri"/>
        </w:rPr>
      </w:pPr>
    </w:p>
    <w:p w:rsidR="002579B2" w:rsidRDefault="002579B2" w:rsidP="002579B2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*</w:t>
      </w:r>
      <w:r w:rsidRPr="004C2AD3">
        <w:rPr>
          <w:rFonts w:ascii="Calibri" w:hAnsi="Calibri"/>
          <w:sz w:val="20"/>
          <w:szCs w:val="20"/>
        </w:rPr>
        <w:t xml:space="preserve">Os momentos </w:t>
      </w:r>
      <w:r w:rsidRPr="004C2AD3">
        <w:rPr>
          <w:rFonts w:ascii="Calibri" w:hAnsi="Calibri"/>
          <w:b/>
          <w:sz w:val="20"/>
          <w:szCs w:val="20"/>
        </w:rPr>
        <w:t>Notação</w:t>
      </w:r>
      <w:r w:rsidRPr="004C2AD3">
        <w:rPr>
          <w:rFonts w:ascii="Calibri" w:hAnsi="Calibri"/>
          <w:sz w:val="20"/>
          <w:szCs w:val="20"/>
        </w:rPr>
        <w:t xml:space="preserve"> e</w:t>
      </w:r>
      <w:r w:rsidRPr="004C2AD3">
        <w:rPr>
          <w:rFonts w:ascii="Calibri" w:hAnsi="Calibri"/>
          <w:b/>
          <w:sz w:val="20"/>
          <w:szCs w:val="20"/>
        </w:rPr>
        <w:t xml:space="preserve"> Criatividade </w:t>
      </w:r>
      <w:r w:rsidRPr="004C2AD3">
        <w:rPr>
          <w:rFonts w:ascii="Calibri" w:hAnsi="Calibri"/>
          <w:sz w:val="20"/>
          <w:szCs w:val="20"/>
        </w:rPr>
        <w:t>não têm um lugar</w:t>
      </w:r>
      <w:r w:rsidRPr="004C2AD3">
        <w:rPr>
          <w:rFonts w:ascii="Calibri" w:hAnsi="Calibri"/>
          <w:b/>
          <w:sz w:val="20"/>
          <w:szCs w:val="20"/>
        </w:rPr>
        <w:t xml:space="preserve"> </w:t>
      </w:r>
      <w:r w:rsidRPr="004C2AD3">
        <w:rPr>
          <w:rFonts w:ascii="Calibri" w:hAnsi="Calibri"/>
          <w:sz w:val="20"/>
          <w:szCs w:val="20"/>
        </w:rPr>
        <w:t>fixo na estrutura proposta, uma vez que podem aparecer no contexto de qualquer um dos outros momentos, mas não tendo, obviamente, que aparecer em todos eles numa mesma sessão</w:t>
      </w:r>
      <w:r>
        <w:rPr>
          <w:rFonts w:ascii="Calibri" w:hAnsi="Calibri"/>
          <w:sz w:val="20"/>
          <w:szCs w:val="20"/>
        </w:rPr>
        <w:t>. Por outro lado, esta disciplina promove a interdisciplinaridade com as restantes áreas curriculares, como por exemplo: Jogos corporais – dança; Trabalho Rítmico- noções matemáticas;(…)</w:t>
      </w:r>
    </w:p>
    <w:p w:rsidR="002579B2" w:rsidRDefault="002579B2" w:rsidP="002579B2">
      <w:pPr>
        <w:rPr>
          <w:rFonts w:ascii="Calibri" w:hAnsi="Calibri"/>
          <w:sz w:val="20"/>
          <w:szCs w:val="20"/>
        </w:rPr>
      </w:pPr>
    </w:p>
    <w:p w:rsidR="0090622F" w:rsidRPr="005E7A71" w:rsidRDefault="002579B2" w:rsidP="005E7A71">
      <w:pPr>
        <w:rPr>
          <w:rFonts w:ascii="Calibri" w:hAnsi="Calibri"/>
          <w:sz w:val="14"/>
          <w:szCs w:val="20"/>
        </w:rPr>
      </w:pPr>
      <w:r w:rsidRPr="00AA1214">
        <w:rPr>
          <w:rFonts w:ascii="Calibri" w:hAnsi="Calibri"/>
          <w:sz w:val="18"/>
          <w:szCs w:val="20"/>
        </w:rPr>
        <w:t>**</w:t>
      </w:r>
      <w:r w:rsidRPr="00AA1214">
        <w:rPr>
          <w:rFonts w:ascii="Calibri" w:hAnsi="Calibri" w:cs="Arial"/>
          <w:bCs/>
        </w:rPr>
        <w:t xml:space="preserve"> </w:t>
      </w:r>
      <w:r w:rsidRPr="00AA1214">
        <w:rPr>
          <w:rFonts w:ascii="Calibri" w:hAnsi="Calibri" w:cs="Arial"/>
          <w:bCs/>
          <w:sz w:val="20"/>
        </w:rPr>
        <w:t>Na prática musical de conjunto, que é uma síntese de todo o trabalho anterior, do ponto de vista m</w:t>
      </w:r>
      <w:r w:rsidR="00564C1B">
        <w:rPr>
          <w:rFonts w:ascii="Calibri" w:hAnsi="Calibri" w:cs="Arial"/>
          <w:bCs/>
          <w:sz w:val="20"/>
        </w:rPr>
        <w:t>usical (incluindo assim os obje</w:t>
      </w:r>
      <w:r w:rsidRPr="00AA1214">
        <w:rPr>
          <w:rFonts w:ascii="Calibri" w:hAnsi="Calibri" w:cs="Arial"/>
          <w:bCs/>
          <w:sz w:val="20"/>
        </w:rPr>
        <w:t>tivos respeitantes aos momentos anteriores) juntam-se outros que têm a ver com o trabalho colaborativo e, nesse sentido, com competências sociais.</w:t>
      </w:r>
    </w:p>
    <w:sectPr w:rsidR="0090622F" w:rsidRPr="005E7A71" w:rsidSect="00A85874">
      <w:headerReference w:type="default" r:id="rId8"/>
      <w:pgSz w:w="16838" w:h="11906" w:orient="landscape"/>
      <w:pgMar w:top="568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1B" w:rsidRDefault="00E7441B">
      <w:r>
        <w:separator/>
      </w:r>
    </w:p>
  </w:endnote>
  <w:endnote w:type="continuationSeparator" w:id="0">
    <w:p w:rsidR="00E7441B" w:rsidRDefault="00E7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1B" w:rsidRDefault="00E7441B">
      <w:r>
        <w:separator/>
      </w:r>
    </w:p>
  </w:footnote>
  <w:footnote w:type="continuationSeparator" w:id="0">
    <w:p w:rsidR="00E7441B" w:rsidRDefault="00E7441B">
      <w:r>
        <w:continuationSeparator/>
      </w:r>
    </w:p>
  </w:footnote>
  <w:footnote w:id="1">
    <w:p w:rsidR="009763B7" w:rsidRDefault="009763B7" w:rsidP="002C55A4">
      <w:pPr>
        <w:pStyle w:val="Textodenotaderodap"/>
      </w:pPr>
      <w:r>
        <w:rPr>
          <w:rStyle w:val="Refdenotaderodap"/>
        </w:rPr>
        <w:footnoteRef/>
      </w:r>
      <w:r>
        <w:t xml:space="preserve"> Diagnóstica, formativa e autoavaliação.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74" w:rsidRPr="00ED2105" w:rsidRDefault="00193E6B" w:rsidP="00A85874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8242935</wp:posOffset>
          </wp:positionH>
          <wp:positionV relativeFrom="paragraph">
            <wp:posOffset>-12065</wp:posOffset>
          </wp:positionV>
          <wp:extent cx="1152525" cy="419100"/>
          <wp:effectExtent l="19050" t="0" r="9525" b="0"/>
          <wp:wrapNone/>
          <wp:docPr id="2" name="Imagem 2" descr="C:\Users\User\Desktop\logo_agrupa_n2_abrantes_2015_PF_fundo_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Desktop\logo_agrupa_n2_abrantes_2015_PF_fundo_B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5874" w:rsidRPr="00ED2105">
      <w:rPr>
        <w:rFonts w:ascii="Calibri" w:hAnsi="Calibri"/>
        <w:b/>
        <w:sz w:val="22"/>
        <w:szCs w:val="22"/>
      </w:rPr>
      <w:t>AGRUPAMENTO DE ESCOLAS N.º2 DE ABRANTES</w:t>
    </w:r>
  </w:p>
  <w:p w:rsidR="00A85874" w:rsidRPr="00ED2105" w:rsidRDefault="00A85874" w:rsidP="00A85874">
    <w:pPr>
      <w:jc w:val="center"/>
      <w:rPr>
        <w:rFonts w:ascii="Calibri" w:hAnsi="Calibri"/>
        <w:b/>
        <w:sz w:val="22"/>
        <w:szCs w:val="22"/>
      </w:rPr>
    </w:pPr>
    <w:r w:rsidRPr="00ED2105">
      <w:rPr>
        <w:rFonts w:ascii="Calibri" w:hAnsi="Calibri"/>
        <w:b/>
        <w:sz w:val="22"/>
        <w:szCs w:val="22"/>
      </w:rPr>
      <w:t xml:space="preserve">PLANIFICAÇÃO ANUAL </w:t>
    </w:r>
    <w:r w:rsidR="00193E6B">
      <w:rPr>
        <w:rFonts w:ascii="Calibri" w:hAnsi="Calibri"/>
        <w:b/>
        <w:sz w:val="22"/>
        <w:szCs w:val="22"/>
      </w:rPr>
      <w:t>DE EDUCAÇÃO ARTÍSTICA-MÚSICA</w:t>
    </w:r>
  </w:p>
  <w:p w:rsidR="00A85874" w:rsidRPr="00ED2105" w:rsidRDefault="00A85874" w:rsidP="00A85874">
    <w:pPr>
      <w:jc w:val="center"/>
      <w:rPr>
        <w:rFonts w:ascii="Calibri" w:hAnsi="Calibri"/>
      </w:rPr>
    </w:pPr>
    <w:r w:rsidRPr="00ED2105">
      <w:rPr>
        <w:rFonts w:ascii="Calibri" w:hAnsi="Calibri"/>
        <w:b/>
        <w:sz w:val="22"/>
        <w:szCs w:val="22"/>
      </w:rPr>
      <w:t>__</w:t>
    </w:r>
    <w:r w:rsidR="007E34C7">
      <w:rPr>
        <w:rFonts w:ascii="Calibri" w:hAnsi="Calibri"/>
        <w:b/>
        <w:sz w:val="22"/>
        <w:szCs w:val="22"/>
      </w:rPr>
      <w:t>2</w:t>
    </w:r>
    <w:r>
      <w:rPr>
        <w:rFonts w:ascii="Calibri" w:hAnsi="Calibri"/>
        <w:b/>
        <w:sz w:val="22"/>
        <w:szCs w:val="22"/>
      </w:rPr>
      <w:t>º</w:t>
    </w:r>
    <w:r w:rsidRPr="00ED2105">
      <w:rPr>
        <w:rFonts w:ascii="Calibri" w:hAnsi="Calibri"/>
        <w:b/>
        <w:sz w:val="22"/>
        <w:szCs w:val="22"/>
      </w:rPr>
      <w:t>_ ANO DE ESCOLARIDADE</w:t>
    </w:r>
    <w:r w:rsidR="000E775A">
      <w:rPr>
        <w:rFonts w:ascii="Calibri" w:hAnsi="Calibri"/>
        <w:b/>
        <w:sz w:val="22"/>
        <w:szCs w:val="22"/>
      </w:rPr>
      <w:t xml:space="preserve"> – 2019/2020</w:t>
    </w:r>
  </w:p>
  <w:p w:rsidR="002B5278" w:rsidRDefault="00A85874" w:rsidP="00A8587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-364490</wp:posOffset>
          </wp:positionV>
          <wp:extent cx="1076325" cy="495300"/>
          <wp:effectExtent l="19050" t="0" r="9525" b="0"/>
          <wp:wrapTight wrapText="bothSides">
            <wp:wrapPolygon edited="0">
              <wp:start x="-382" y="0"/>
              <wp:lineTo x="-382" y="20769"/>
              <wp:lineTo x="21791" y="20769"/>
              <wp:lineTo x="21791" y="0"/>
              <wp:lineTo x="-382" y="0"/>
            </wp:wrapPolygon>
          </wp:wrapTight>
          <wp:docPr id="1" name="Imagem 2" descr="\\ldap\Ambientes\f870\Ambiente de trabalh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ldap\Ambientes\f870\Ambiente de trabalho\logo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719"/>
    <w:multiLevelType w:val="hybridMultilevel"/>
    <w:tmpl w:val="450094E4"/>
    <w:lvl w:ilvl="0" w:tplc="0816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160E5165"/>
    <w:multiLevelType w:val="hybridMultilevel"/>
    <w:tmpl w:val="A926AA48"/>
    <w:lvl w:ilvl="0" w:tplc="0816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1D285021"/>
    <w:multiLevelType w:val="hybridMultilevel"/>
    <w:tmpl w:val="B68CB5BA"/>
    <w:lvl w:ilvl="0" w:tplc="0816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373816D8"/>
    <w:multiLevelType w:val="hybridMultilevel"/>
    <w:tmpl w:val="FE2C7F12"/>
    <w:lvl w:ilvl="0" w:tplc="08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45686EFB"/>
    <w:multiLevelType w:val="hybridMultilevel"/>
    <w:tmpl w:val="AB6A9A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E4BF2"/>
    <w:multiLevelType w:val="hybridMultilevel"/>
    <w:tmpl w:val="D37E31DA"/>
    <w:lvl w:ilvl="0" w:tplc="08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4C6A3DF3"/>
    <w:multiLevelType w:val="hybridMultilevel"/>
    <w:tmpl w:val="82CC62AC"/>
    <w:lvl w:ilvl="0" w:tplc="0816000D">
      <w:start w:val="1"/>
      <w:numFmt w:val="bullet"/>
      <w:lvlText w:val=""/>
      <w:lvlJc w:val="left"/>
      <w:pPr>
        <w:ind w:left="189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7">
    <w:nsid w:val="54063900"/>
    <w:multiLevelType w:val="hybridMultilevel"/>
    <w:tmpl w:val="24C4D4B2"/>
    <w:lvl w:ilvl="0" w:tplc="0816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>
    <w:nsid w:val="609457E1"/>
    <w:multiLevelType w:val="hybridMultilevel"/>
    <w:tmpl w:val="115A0520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0146BF"/>
    <w:multiLevelType w:val="hybridMultilevel"/>
    <w:tmpl w:val="D75C751C"/>
    <w:lvl w:ilvl="0" w:tplc="0816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0">
    <w:nsid w:val="690E7DE6"/>
    <w:multiLevelType w:val="hybridMultilevel"/>
    <w:tmpl w:val="64F6ABFA"/>
    <w:lvl w:ilvl="0" w:tplc="0816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B501E93"/>
    <w:multiLevelType w:val="hybridMultilevel"/>
    <w:tmpl w:val="30D6D04A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8549D"/>
    <w:multiLevelType w:val="hybridMultilevel"/>
    <w:tmpl w:val="A50659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2F"/>
    <w:rsid w:val="0003380A"/>
    <w:rsid w:val="00092CC0"/>
    <w:rsid w:val="000E775A"/>
    <w:rsid w:val="00113910"/>
    <w:rsid w:val="00193E6B"/>
    <w:rsid w:val="001A0BFF"/>
    <w:rsid w:val="00223C37"/>
    <w:rsid w:val="002579B2"/>
    <w:rsid w:val="002A7899"/>
    <w:rsid w:val="002B5278"/>
    <w:rsid w:val="002C55A4"/>
    <w:rsid w:val="002D555C"/>
    <w:rsid w:val="00345896"/>
    <w:rsid w:val="00397EED"/>
    <w:rsid w:val="003C191F"/>
    <w:rsid w:val="004A35C4"/>
    <w:rsid w:val="004B28CA"/>
    <w:rsid w:val="0052484A"/>
    <w:rsid w:val="00564C1B"/>
    <w:rsid w:val="00597158"/>
    <w:rsid w:val="005C6B83"/>
    <w:rsid w:val="005E7A71"/>
    <w:rsid w:val="005E7BEF"/>
    <w:rsid w:val="00624890"/>
    <w:rsid w:val="0064296C"/>
    <w:rsid w:val="00693A9F"/>
    <w:rsid w:val="006E2D5C"/>
    <w:rsid w:val="00752208"/>
    <w:rsid w:val="007646D0"/>
    <w:rsid w:val="007C11AC"/>
    <w:rsid w:val="007E34C7"/>
    <w:rsid w:val="008816F6"/>
    <w:rsid w:val="008D2AB6"/>
    <w:rsid w:val="0090622F"/>
    <w:rsid w:val="009763B7"/>
    <w:rsid w:val="00A36ACF"/>
    <w:rsid w:val="00A85874"/>
    <w:rsid w:val="00A93345"/>
    <w:rsid w:val="00A96294"/>
    <w:rsid w:val="00AB5F23"/>
    <w:rsid w:val="00B16CA4"/>
    <w:rsid w:val="00B65C6D"/>
    <w:rsid w:val="00BA2C75"/>
    <w:rsid w:val="00BD1B7F"/>
    <w:rsid w:val="00CB67E9"/>
    <w:rsid w:val="00D257DF"/>
    <w:rsid w:val="00DF08BC"/>
    <w:rsid w:val="00DF70B2"/>
    <w:rsid w:val="00E1570B"/>
    <w:rsid w:val="00E21920"/>
    <w:rsid w:val="00E7441B"/>
    <w:rsid w:val="00E84BF0"/>
    <w:rsid w:val="00EB3038"/>
    <w:rsid w:val="00ED0188"/>
    <w:rsid w:val="00ED6997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2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906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0622F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191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191F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3C191F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3C191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3C19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2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906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0622F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191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191F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3C191F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3C191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3C1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Cristina</dc:creator>
  <cp:lastModifiedBy>Luisa Niza Matos</cp:lastModifiedBy>
  <cp:revision>9</cp:revision>
  <dcterms:created xsi:type="dcterms:W3CDTF">2019-11-18T22:12:00Z</dcterms:created>
  <dcterms:modified xsi:type="dcterms:W3CDTF">2019-11-27T10:42:00Z</dcterms:modified>
</cp:coreProperties>
</file>